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2d2d2d"/>
          <w:rtl w:val="0"/>
          <w:lang w:val="en-US"/>
          <w14:textFill>
            <w14:solidFill>
              <w14:srgbClr w14:val="2D2D2D"/>
            </w14:solidFill>
          </w14:textFill>
        </w:rPr>
        <w:t xml:space="preserve">Razan al-Najjar was a 20-year-old Palestinian paramedic who was shot dead by an Israeli soldier as she tended wounded demonstrators near the Gaza/Israel border fence in June 2018. Interviewed a few days before her death, she said: </w:t>
      </w:r>
      <w:r>
        <w:rPr>
          <w:rFonts w:ascii="Arial" w:hAnsi="Arial" w:hint="default"/>
          <w:outline w:val="0"/>
          <w:color w:val="2d2d2d"/>
          <w:rtl w:val="1"/>
          <w:lang w:val="ar-SA" w:bidi="ar-SA"/>
          <w14:textFill>
            <w14:solidFill>
              <w14:srgbClr w14:val="2D2D2D"/>
            </w14:solidFill>
          </w14:textFill>
        </w:rPr>
        <w:t>“</w:t>
      </w:r>
      <w:r>
        <w:rPr>
          <w:rFonts w:ascii="Arial" w:hAnsi="Arial"/>
          <w:outline w:val="0"/>
          <w:color w:val="2d2d2d"/>
          <w:rtl w:val="0"/>
          <w:lang w:val="en-US"/>
          <w14:textFill>
            <w14:solidFill>
              <w14:srgbClr w14:val="2D2D2D"/>
            </w14:solidFill>
          </w14:textFill>
        </w:rPr>
        <w:t>There are those who resist with stones and there are those who resist with cameras, and I am here to resist... by doing my medical duty.</w:t>
      </w:r>
      <w:r>
        <w:rPr>
          <w:rFonts w:ascii="Arial" w:hAnsi="Arial" w:hint="default"/>
          <w:outline w:val="0"/>
          <w:color w:val="2d2d2d"/>
          <w:rtl w:val="0"/>
          <w14:textFill>
            <w14:solidFill>
              <w14:srgbClr w14:val="2D2D2D"/>
            </w14:solidFill>
          </w14:textFill>
        </w:rPr>
        <w:t xml:space="preserve">” </w:t>
      </w:r>
      <w:r>
        <w:rPr>
          <w:rFonts w:ascii="Arial" w:hAnsi="Arial"/>
          <w:outline w:val="0"/>
          <w:color w:val="2d2d2d"/>
          <w:rtl w:val="0"/>
          <w:lang w:val="en-US"/>
          <w14:textFill>
            <w14:solidFill>
              <w14:srgbClr w14:val="2D2D2D"/>
            </w14:solidFill>
          </w14:textFill>
        </w:rPr>
        <w:t>The piano-piece that I composed in her memory that June is loosely based on the of her name, both in Arabic and English transliteration.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