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Composed in Dublin and at the Tyrone Guthrie Centre, Annaghmakerrig, between March and July 2014,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Quadripartita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was commissioned by Malachy Robinson with funds from The Arts Council/An Chomhairle Eala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on. The gulf between the depths of the double-bass and the heights of the violin, and the dialectic between the individualisation of the 4 instruments and their aspiration to homogeneity provided the main challenges in writing for this combination. The work is partly based on a chorale that only reveals itself towards the end, and partly on a more melodic element that is unrelated to it. These materials engage in a play of attraction and repulsion that remains unresolved.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Quadripartita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dedicated to Malachy Robinson and the Panoramic Quartet.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When I started work, I was reading the strange little book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Eternity Through the Stars</w:t>
      </w:r>
      <w:r>
        <w:rPr>
          <w:rFonts w:ascii="Times New Roman" w:hAnsi="Times New Roman"/>
          <w:sz w:val="24"/>
          <w:szCs w:val="24"/>
          <w:rtl w:val="0"/>
        </w:rPr>
        <w:t xml:space="preserve"> (1872), an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astronomical hypothesis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written by the socialist revolutionary Auguste Blanqui during his imprisonment in the Fort du Taureau, a castle on a rock in the bay of Morlaix, Brittany. It propounds an imagery of infinite repetitions in space and time far more hellish than Nietzsche's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eternal recurrence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. Freed 7 years later, old and ill, he immediately returned to the work of agitation in defiance of his own fatalistic vision.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opening of the work, exploiting the gulf between the depths of the double-bass and the heights of the violin, evokes Blanqui imprisoned on his rock and contemplating the stars. Beyond this there is no explicit programme, although I feel that Blanqui's ghost somehow hovered over the piece.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